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57" w:rsidRDefault="00006557" w:rsidP="00006557">
      <w:pPr>
        <w:jc w:val="both"/>
      </w:pPr>
      <w:r>
        <w:t>Решение № 2-1411/2019 2-1411/2019~М-1148/2019 М-1148/2019 от 12 июл</w:t>
      </w:r>
      <w:r>
        <w:t xml:space="preserve">я 2019 г. по делу № 2-1411/2019 </w:t>
      </w:r>
      <w:r>
        <w:t xml:space="preserve">Заволжский районный суд г. Ярославля (Ярославская область) </w:t>
      </w:r>
    </w:p>
    <w:p w:rsidR="00006557" w:rsidRDefault="00006557" w:rsidP="00006557">
      <w:pPr>
        <w:jc w:val="both"/>
      </w:pPr>
      <w:r>
        <w:t>ООО «</w:t>
      </w:r>
      <w:proofErr w:type="spellStart"/>
      <w:r>
        <w:t>Фиткёрвс</w:t>
      </w:r>
      <w:proofErr w:type="spellEnd"/>
      <w:r>
        <w:t>» обратился в суд с иском к ФИО</w:t>
      </w:r>
      <w:proofErr w:type="gramStart"/>
      <w:r>
        <w:t>1</w:t>
      </w:r>
      <w:proofErr w:type="gramEnd"/>
      <w:r>
        <w:t xml:space="preserve"> о взыска</w:t>
      </w:r>
      <w:r>
        <w:t>нии задолженности по договорам.</w:t>
      </w:r>
    </w:p>
    <w:p w:rsidR="00006557" w:rsidRDefault="00006557" w:rsidP="00006557">
      <w:pPr>
        <w:jc w:val="both"/>
      </w:pPr>
      <w:r>
        <w:t>Из материалов дела усматривается, что ДД.ММ</w:t>
      </w:r>
      <w:proofErr w:type="gramStart"/>
      <w:r>
        <w:t>.Г</w:t>
      </w:r>
      <w:proofErr w:type="gramEnd"/>
      <w:r>
        <w:t>ГГГ между ООО «</w:t>
      </w:r>
      <w:proofErr w:type="spellStart"/>
      <w:r>
        <w:t>Фиткёрвс</w:t>
      </w:r>
      <w:proofErr w:type="spellEnd"/>
      <w:r>
        <w:t xml:space="preserve">» и ИП ФИО1 (в настоящее время статус ИП прекращен) были заключены следующие договоры: </w:t>
      </w:r>
      <w:proofErr w:type="spellStart"/>
      <w:r>
        <w:t>сублицензионный</w:t>
      </w:r>
      <w:proofErr w:type="spellEnd"/>
      <w:r>
        <w:t xml:space="preserve"> договор № «Об использовании товарного знака (знака обслуживания)»; договор коммерческой концессии (франчайзинга) №; договор</w:t>
      </w:r>
      <w:r>
        <w:t xml:space="preserve"> лизинга (финансовой аренды) №.</w:t>
      </w:r>
    </w:p>
    <w:p w:rsidR="00006557" w:rsidRDefault="00006557" w:rsidP="00006557">
      <w:pPr>
        <w:jc w:val="both"/>
      </w:pPr>
      <w:r>
        <w:t xml:space="preserve">Целью заключения данных договором являлось открытие и последующее функционирование </w:t>
      </w:r>
      <w:proofErr w:type="gramStart"/>
      <w:r>
        <w:t>фитнес-клуба</w:t>
      </w:r>
      <w:proofErr w:type="gramEnd"/>
      <w:r>
        <w:t xml:space="preserve"> под торговой маркой «</w:t>
      </w:r>
      <w:proofErr w:type="spellStart"/>
      <w:r>
        <w:t>FitCurves</w:t>
      </w:r>
      <w:proofErr w:type="spellEnd"/>
      <w:r>
        <w:t>» (Ярославль-1) и использования опыта, навыков и оборудования истца, а также товарных знаков «</w:t>
      </w:r>
      <w:proofErr w:type="spellStart"/>
      <w:r>
        <w:t>Curves</w:t>
      </w:r>
      <w:proofErr w:type="spellEnd"/>
      <w:r>
        <w:t>» и «</w:t>
      </w:r>
      <w:proofErr w:type="spellStart"/>
      <w:r>
        <w:t>FitCurves</w:t>
      </w:r>
      <w:proofErr w:type="spellEnd"/>
      <w:r>
        <w:t>», обладателем к</w:t>
      </w:r>
      <w:r>
        <w:t>оторых является ООО «</w:t>
      </w:r>
      <w:proofErr w:type="spellStart"/>
      <w:r>
        <w:t>Фиткёрвс</w:t>
      </w:r>
      <w:proofErr w:type="spellEnd"/>
      <w:r>
        <w:t>».</w:t>
      </w:r>
    </w:p>
    <w:p w:rsidR="00006557" w:rsidRDefault="00006557" w:rsidP="00006557">
      <w:pPr>
        <w:jc w:val="both"/>
      </w:pPr>
      <w:r>
        <w:t>По договору коммерческой концессии (франчайзинга) № от ДД.ММ</w:t>
      </w:r>
      <w:proofErr w:type="gramStart"/>
      <w:r>
        <w:t>.Г</w:t>
      </w:r>
      <w:proofErr w:type="gramEnd"/>
      <w:r>
        <w:t>ГГГ ответчик получил от истца сроком на 10 лет одну франшизу «</w:t>
      </w:r>
      <w:proofErr w:type="spellStart"/>
      <w:r>
        <w:t>FitCurves</w:t>
      </w:r>
      <w:proofErr w:type="spellEnd"/>
      <w:r>
        <w:t>», которая включала в себя комплекс исключительных прав, в том числе право пользования деловой репутацией и коммерческим опытом истца, каналы распространения услуг, право использования эмблем, марок, логотипов, разработанных методик и инструкций, доступ к странице в телекоммуникационной сети «Интернет», возможность обучения, рекламную поддержку и пр</w:t>
      </w:r>
      <w:r>
        <w:t>очее (раздел 1А и 2А договора).</w:t>
      </w:r>
    </w:p>
    <w:p w:rsidR="00006557" w:rsidRDefault="00006557" w:rsidP="00006557">
      <w:pPr>
        <w:jc w:val="both"/>
      </w:pPr>
      <w:proofErr w:type="gramStart"/>
      <w:r>
        <w:t>На Интернет-сайтах клуба презентуется информация, побуждающая неограниченный круг лиц (женщин) к услугам фитнес-клубов, функционирующих под торговой маркой «</w:t>
      </w:r>
      <w:proofErr w:type="spellStart"/>
      <w:r>
        <w:t>FitCurves</w:t>
      </w:r>
      <w:proofErr w:type="spellEnd"/>
      <w:r>
        <w:t>», информация, направленная на привлечение внимания и к различного рода фитнес-программам, программам для похудания, мероприятиям, акциям, проводимым и реализуемым в сети фитнес-клубов, в том числе фитнес-клубе ответчика, специальным программам тренировок и упражнен</w:t>
      </w:r>
      <w:r>
        <w:t>ий, методикам системы «</w:t>
      </w:r>
      <w:proofErr w:type="spellStart"/>
      <w:r>
        <w:t>Curves</w:t>
      </w:r>
      <w:proofErr w:type="spellEnd"/>
      <w:r>
        <w:t>».</w:t>
      </w:r>
      <w:proofErr w:type="gramEnd"/>
    </w:p>
    <w:p w:rsidR="00006557" w:rsidRDefault="00006557" w:rsidP="00006557">
      <w:pPr>
        <w:jc w:val="both"/>
      </w:pPr>
      <w:proofErr w:type="gramStart"/>
      <w:r>
        <w:t>На Интернет-сайтах размещена информация об открытых фитнес-клубах, в том числе о фитнес-клубе ответчика (Россия, &lt;адрес&gt;), с указанием времени его работы, схемы проезда и рекламируется товарный знак, право на который б</w:t>
      </w:r>
      <w:r>
        <w:t xml:space="preserve">ыло передано ответчику по </w:t>
      </w:r>
      <w:proofErr w:type="spellStart"/>
      <w:r>
        <w:t>сублицензионному</w:t>
      </w:r>
      <w:proofErr w:type="spellEnd"/>
      <w:r>
        <w:t xml:space="preserve"> договору.</w:t>
      </w:r>
      <w:proofErr w:type="gramEnd"/>
    </w:p>
    <w:p w:rsidR="00006557" w:rsidRDefault="00006557" w:rsidP="00006557">
      <w:pPr>
        <w:jc w:val="both"/>
      </w:pPr>
      <w:r>
        <w:t xml:space="preserve">Выбор способа и метода рекламирования, средств рекламирования непосредственно сети </w:t>
      </w:r>
      <w:proofErr w:type="gramStart"/>
      <w:r>
        <w:t>фитнес-клубов</w:t>
      </w:r>
      <w:proofErr w:type="gramEnd"/>
      <w:r>
        <w:t>, функционирующих под торговой маркой «</w:t>
      </w:r>
      <w:proofErr w:type="spellStart"/>
      <w:r>
        <w:t>FitCurves</w:t>
      </w:r>
      <w:proofErr w:type="spellEnd"/>
      <w:r>
        <w:t>», рекламирования методик и программ, по которым работают ф</w:t>
      </w:r>
      <w:r>
        <w:t>итнес-клубы, принадлежит истцу.</w:t>
      </w:r>
    </w:p>
    <w:p w:rsidR="00006557" w:rsidRDefault="00006557" w:rsidP="00006557">
      <w:pPr>
        <w:jc w:val="both"/>
      </w:pPr>
      <w:r>
        <w:t>Поскольку ООО «</w:t>
      </w:r>
      <w:proofErr w:type="spellStart"/>
      <w:r>
        <w:t>Фиткёрвс</w:t>
      </w:r>
      <w:proofErr w:type="spellEnd"/>
      <w:r>
        <w:t>» является обладателем исключительного права на использование товарных знаков «</w:t>
      </w:r>
      <w:proofErr w:type="spellStart"/>
      <w:r>
        <w:t>Curves</w:t>
      </w:r>
      <w:proofErr w:type="spellEnd"/>
      <w:r>
        <w:t>» и «</w:t>
      </w:r>
      <w:proofErr w:type="spellStart"/>
      <w:r>
        <w:t>FitCurvs</w:t>
      </w:r>
      <w:proofErr w:type="spellEnd"/>
      <w:r>
        <w:t xml:space="preserve">» на основании свидетельств о регистрации товарного знака (знака обслуживания) № и №, то оно передало ответчику для осуществления хозяйственной деятельности по </w:t>
      </w:r>
      <w:proofErr w:type="spellStart"/>
      <w:r>
        <w:t>сублицензионному</w:t>
      </w:r>
      <w:proofErr w:type="spellEnd"/>
      <w:r>
        <w:t xml:space="preserve"> договору № «Об использовании товарного знака (знака обслуживания)» от ДД.ММ</w:t>
      </w:r>
      <w:proofErr w:type="gramStart"/>
      <w:r>
        <w:t>.Г</w:t>
      </w:r>
      <w:proofErr w:type="gramEnd"/>
      <w:r>
        <w:t>ГГГ неисключительные права на использование товарных знаков «</w:t>
      </w:r>
      <w:proofErr w:type="spellStart"/>
      <w:r>
        <w:t>Curves</w:t>
      </w:r>
      <w:proofErr w:type="spellEnd"/>
      <w:r>
        <w:t>» и «</w:t>
      </w:r>
      <w:proofErr w:type="spellStart"/>
      <w:r>
        <w:t>FitCurves</w:t>
      </w:r>
      <w:proofErr w:type="spellEnd"/>
      <w:r>
        <w:t xml:space="preserve">» в </w:t>
      </w:r>
      <w:r>
        <w:lastRenderedPageBreak/>
        <w:t xml:space="preserve">пределах полной области применения в </w:t>
      </w:r>
      <w:proofErr w:type="gramStart"/>
      <w:r>
        <w:t>отношении</w:t>
      </w:r>
      <w:proofErr w:type="gramEnd"/>
      <w:r>
        <w:t xml:space="preserve"> услуг 41 класса МКТУ, для которых зарегистрированы това</w:t>
      </w:r>
      <w:r>
        <w:t>рные знаки (п. 1.1 договора). |</w:t>
      </w:r>
    </w:p>
    <w:p w:rsidR="00006557" w:rsidRDefault="00006557" w:rsidP="00006557">
      <w:pPr>
        <w:jc w:val="both"/>
      </w:pPr>
      <w:r>
        <w:t xml:space="preserve">Ответчик обязался за предоставленные по договорам права, имущество, услуги вносить определенную плату: по договору коммерческой концессии (франчайзинга) № производить ежемесячные отчисления за рекламную поддержку в размере 150 долларов США (в рублях по курсу ЦБ </w:t>
      </w:r>
      <w:proofErr w:type="gramStart"/>
      <w:r>
        <w:t>РФ</w:t>
      </w:r>
      <w:proofErr w:type="gramEnd"/>
      <w:r>
        <w:t xml:space="preserve"> к доллару США увеличенного на один рубль на дату перечисления), платежи должны быть произведены не позднее 20 числа текущего месяца (раздел 10А договора); по </w:t>
      </w:r>
      <w:proofErr w:type="spellStart"/>
      <w:r>
        <w:t>сублицензионному</w:t>
      </w:r>
      <w:proofErr w:type="spellEnd"/>
      <w:r>
        <w:t xml:space="preserve"> договору № за использование товарного знака в течение срока действия настоящего договора Сублицензиат соглашается уплатить лицензиату ежемесячно, не позднее 20 числа текущего месяца лицензионное вознаграждение </w:t>
      </w:r>
      <w:proofErr w:type="gramStart"/>
      <w:r>
        <w:t xml:space="preserve">( </w:t>
      </w:r>
      <w:proofErr w:type="gramEnd"/>
      <w:r>
        <w:t xml:space="preserve">роялти ) в размере 250 долларов США за каждое открытое предприятие сублицензиата (в рублях по курсу ЦБ РФ к доллару США увеличенного на один рубль на дату оплаты) (п. 7.1 договора); по договору лизинга (финансовой аренды) № арендная плата за пользование имуществом составляет 250 долларов США в месяц в рублях по курсу ЦБ </w:t>
      </w:r>
      <w:proofErr w:type="gramStart"/>
      <w:r>
        <w:t>РФ</w:t>
      </w:r>
      <w:proofErr w:type="gramEnd"/>
      <w:r>
        <w:t xml:space="preserve"> к доллару США увеличенного на один рубль на дату оплаты, и перечисляется не позднее 20 числа тек</w:t>
      </w:r>
      <w:r>
        <w:t>ущего месяца (п. 4.2 договора),</w:t>
      </w:r>
    </w:p>
    <w:p w:rsidR="00006557" w:rsidRDefault="00006557" w:rsidP="00006557">
      <w:pPr>
        <w:jc w:val="both"/>
      </w:pPr>
      <w:r>
        <w:t>ДД.ММ</w:t>
      </w:r>
      <w:proofErr w:type="gramStart"/>
      <w:r>
        <w:t>.Г</w:t>
      </w:r>
      <w:proofErr w:type="gramEnd"/>
      <w:r>
        <w:t xml:space="preserve">ГГГ заключено дополнительное соглашение от ДД.ММ.ГГГГ к договору коммерческой концессии (франчайзинга) № от ДД.ММ.ГГГГ, дополнительное соглашение от ДД.ММ.ГГГГ к </w:t>
      </w:r>
      <w:proofErr w:type="spellStart"/>
      <w:r>
        <w:t>сублицензионному</w:t>
      </w:r>
      <w:proofErr w:type="spellEnd"/>
      <w:r>
        <w:t xml:space="preserve"> договору № « Об использовании товарного знака (знака обслуживания)» от ДД.ММ.ГГГГ и договор аренды № от ДД.ММ.ГГГГ были расторгнуты по соглашению сторон, в связи с закрытием клуба (Ярославль-5) ДД.ММ.ГГГГ, а начисление роялти бы</w:t>
      </w:r>
      <w:r>
        <w:t>ло приостановлено с ДД.ММ</w:t>
      </w:r>
      <w:proofErr w:type="gramStart"/>
      <w:r>
        <w:t>.Г</w:t>
      </w:r>
      <w:proofErr w:type="gramEnd"/>
      <w:r>
        <w:t>ГГГ.</w:t>
      </w:r>
    </w:p>
    <w:p w:rsidR="00006557" w:rsidRDefault="00006557" w:rsidP="00006557">
      <w:pPr>
        <w:jc w:val="both"/>
      </w:pPr>
      <w:r>
        <w:t>Ответчик свои обязательства по оплате ежемесячных платежей в период работы клуба не исполнял, как и после его закрытия задолженность не погасил.</w:t>
      </w:r>
    </w:p>
    <w:p w:rsidR="00006557" w:rsidRDefault="00006557" w:rsidP="00006557">
      <w:pPr>
        <w:jc w:val="both"/>
      </w:pPr>
      <w:r>
        <w:t>При определении размера задолженности по договорам, суд принимает за основу расчет представленный истцом, и взыскивает сумму в размере 9 098,20 долларов США в рублях по курсу ЦБ РФ на дат</w:t>
      </w:r>
      <w:r>
        <w:t>у платежа (п. 2 ст. 317 ГК РФ).</w:t>
      </w:r>
    </w:p>
    <w:p w:rsidR="00006557" w:rsidRDefault="00006557" w:rsidP="00006557">
      <w:pPr>
        <w:jc w:val="both"/>
      </w:pPr>
      <w:r>
        <w:t>В силу принципа состязательности сторон, предусмотренного ст.12 ГПК РФ, требований ст.56 ГПК РФ каждая сторона должна доказать те обстоятельства, на которые она ссылается как на основания своих требований и возражени</w:t>
      </w:r>
      <w:r>
        <w:t xml:space="preserve">й. Суд считает, что истец </w:t>
      </w:r>
      <w:bookmarkStart w:id="0" w:name="_GoBack"/>
      <w:bookmarkEnd w:id="0"/>
      <w:r>
        <w:t>предст</w:t>
      </w:r>
      <w:r>
        <w:t>авил суду доказательства законности и о</w:t>
      </w:r>
      <w:r>
        <w:t>боснованности своих требований.</w:t>
      </w:r>
    </w:p>
    <w:p w:rsidR="00006557" w:rsidRDefault="00006557" w:rsidP="00006557">
      <w:pPr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>, руководст</w:t>
      </w:r>
      <w:r>
        <w:t>вуясь ст.ст.233-237 ГПК РФ, суд</w:t>
      </w:r>
    </w:p>
    <w:p w:rsidR="00440A99" w:rsidRPr="00006557" w:rsidRDefault="00006557" w:rsidP="00006557">
      <w:pPr>
        <w:jc w:val="both"/>
      </w:pPr>
      <w:proofErr w:type="gramStart"/>
      <w:r>
        <w:t>р</w:t>
      </w:r>
      <w:proofErr w:type="gramEnd"/>
      <w:r>
        <w:t xml:space="preserve"> е ш и л: исковые требования удовлетворить </w:t>
      </w:r>
    </w:p>
    <w:sectPr w:rsidR="00440A99" w:rsidRPr="0000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57"/>
    <w:rsid w:val="00006557"/>
    <w:rsid w:val="004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2020-05-27T09:20:00Z</dcterms:created>
  <dcterms:modified xsi:type="dcterms:W3CDTF">2020-05-27T09:26:00Z</dcterms:modified>
</cp:coreProperties>
</file>