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2A" w:rsidRPr="00564E2A" w:rsidRDefault="00564E2A" w:rsidP="00564E2A">
      <w:pPr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564E2A">
        <w:rPr>
          <w:rFonts w:ascii="PT Serif" w:eastAsia="Times New Roman" w:hAnsi="PT Serif" w:cs="Times New Roman"/>
          <w:i/>
          <w:iCs/>
          <w:color w:val="000000"/>
          <w:sz w:val="28"/>
          <w:szCs w:val="28"/>
          <w:lang w:eastAsia="ru-RU"/>
        </w:rPr>
        <w:t>Таблица 1. Группы месторождений, к которым может быть применен НДД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039"/>
        <w:gridCol w:w="1950"/>
        <w:gridCol w:w="1795"/>
        <w:gridCol w:w="1767"/>
      </w:tblGrid>
      <w:tr w:rsidR="00564E2A" w:rsidRPr="00564E2A" w:rsidTr="00564E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b/>
                <w:bCs/>
                <w:lang w:eastAsia="ru-RU"/>
              </w:rPr>
            </w:pPr>
            <w:proofErr w:type="spellStart"/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Гринфилды</w:t>
            </w:r>
            <w:proofErr w:type="spellEnd"/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 xml:space="preserve"> в Восточной Сибири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b/>
                <w:bCs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Месторождения ТРИЗ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b/>
                <w:bCs/>
                <w:lang w:eastAsia="ru-RU"/>
              </w:rPr>
            </w:pPr>
            <w:proofErr w:type="spellStart"/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Браунфилды</w:t>
            </w:r>
            <w:proofErr w:type="spellEnd"/>
          </w:p>
          <w:p w:rsidR="00564E2A" w:rsidRPr="00564E2A" w:rsidRDefault="00564E2A" w:rsidP="00564E2A">
            <w:pPr>
              <w:rPr>
                <w:rFonts w:ascii="PT Serif" w:eastAsia="Times New Roman" w:hAnsi="PT Serif" w:cs="Times New Roman"/>
                <w:b/>
                <w:bCs/>
                <w:sz w:val="28"/>
                <w:szCs w:val="28"/>
                <w:lang w:eastAsia="ru-RU"/>
              </w:rPr>
            </w:pPr>
            <w:r w:rsidRPr="00564E2A">
              <w:rPr>
                <w:rFonts w:ascii="PT Serif" w:eastAsia="Times New Roman" w:hAnsi="PT Serif" w:cs="Times New Roman"/>
                <w:b/>
                <w:bCs/>
                <w:sz w:val="28"/>
                <w:szCs w:val="28"/>
                <w:lang w:eastAsia="ru-RU"/>
              </w:rPr>
              <w:t>в Западной Сибири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b/>
                <w:bCs/>
                <w:lang w:eastAsia="ru-RU"/>
              </w:rPr>
            </w:pPr>
            <w:proofErr w:type="spellStart"/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Гринфилды</w:t>
            </w:r>
            <w:proofErr w:type="spellEnd"/>
          </w:p>
          <w:p w:rsidR="00564E2A" w:rsidRPr="00564E2A" w:rsidRDefault="00564E2A" w:rsidP="00564E2A">
            <w:pPr>
              <w:rPr>
                <w:rFonts w:ascii="PT Serif" w:eastAsia="Times New Roman" w:hAnsi="PT Serif" w:cs="Times New Roman"/>
                <w:b/>
                <w:bCs/>
                <w:sz w:val="28"/>
                <w:szCs w:val="28"/>
                <w:lang w:eastAsia="ru-RU"/>
              </w:rPr>
            </w:pPr>
            <w:r w:rsidRPr="00564E2A">
              <w:rPr>
                <w:rFonts w:ascii="PT Serif" w:eastAsia="Times New Roman" w:hAnsi="PT Serif" w:cs="Times New Roman"/>
                <w:b/>
                <w:bCs/>
                <w:sz w:val="28"/>
                <w:szCs w:val="28"/>
                <w:lang w:eastAsia="ru-RU"/>
              </w:rPr>
              <w:t>в Западной Сибири</w:t>
            </w:r>
          </w:p>
        </w:tc>
      </w:tr>
      <w:tr w:rsidR="00564E2A" w:rsidRPr="00564E2A" w:rsidTr="00564E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 xml:space="preserve">Степень </w:t>
            </w:r>
            <w:proofErr w:type="spellStart"/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выработанности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&lt;5%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20-80%</w:t>
            </w:r>
          </w:p>
          <w:p w:rsidR="00564E2A" w:rsidRPr="00564E2A" w:rsidRDefault="00564E2A" w:rsidP="00564E2A">
            <w:pPr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</w:pPr>
            <w:r w:rsidRPr="00564E2A">
              <w:rPr>
                <w:rFonts w:ascii="PT Serif" w:eastAsia="Times New Roman" w:hAnsi="PT Serif" w:cs="Times New Roman"/>
                <w:sz w:val="28"/>
                <w:szCs w:val="28"/>
                <w:lang w:eastAsia="ru-RU"/>
              </w:rPr>
              <w:t>10-80% для блоков, находящихся в разработке не менее 6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&lt;0,05</w:t>
            </w:r>
          </w:p>
        </w:tc>
      </w:tr>
      <w:tr w:rsidR="00564E2A" w:rsidRPr="00564E2A" w:rsidTr="00564E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Применимость НДД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по умолчанию, однако у налогоплательщика есть право на отказ от применения НДД при подаче уведомления в налоговый орган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уведомительный (т.е. налогоплательщик уведомляет налоговые органы о переходе на НДД)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обязательный</w:t>
            </w:r>
          </w:p>
        </w:tc>
      </w:tr>
      <w:tr w:rsidR="00564E2A" w:rsidRPr="00564E2A" w:rsidTr="00564E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t>Общие ограничения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совокупная добыча нефти и газового конденсата &gt;15 млн тонн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 xml:space="preserve">начальные извлекаемые запасы нефти участка недр составляют &lt;10 млн </w:t>
            </w:r>
            <w:r w:rsidRPr="00564E2A">
              <w:rPr>
                <w:rFonts w:ascii="PT Sans" w:eastAsia="Times New Roman" w:hAnsi="PT Sans" w:cs="Times New Roman"/>
                <w:lang w:eastAsia="ru-RU"/>
              </w:rPr>
              <w:lastRenderedPageBreak/>
              <w:t>тонн, а совокупные &lt;50 млн тонн</w:t>
            </w:r>
          </w:p>
        </w:tc>
      </w:tr>
      <w:tr w:rsidR="00564E2A" w:rsidRPr="00564E2A" w:rsidTr="00564E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b/>
                <w:bCs/>
                <w:lang w:eastAsia="ru-RU"/>
              </w:rPr>
              <w:lastRenderedPageBreak/>
              <w:t>Ограничения по перечню месторождений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не ограниченный перечень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месторождения, указанные в примечании 8 к Таможенному тарифу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35 месторождений, расположенных по указанным в законопроекте координатам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64E2A" w:rsidRPr="00564E2A" w:rsidRDefault="00564E2A" w:rsidP="00564E2A">
            <w:pPr>
              <w:spacing w:after="240"/>
              <w:rPr>
                <w:rFonts w:ascii="PT Sans" w:eastAsia="Times New Roman" w:hAnsi="PT Sans" w:cs="Times New Roman"/>
                <w:lang w:eastAsia="ru-RU"/>
              </w:rPr>
            </w:pPr>
            <w:r w:rsidRPr="00564E2A">
              <w:rPr>
                <w:rFonts w:ascii="PT Sans" w:eastAsia="Times New Roman" w:hAnsi="PT Sans" w:cs="Times New Roman"/>
                <w:lang w:eastAsia="ru-RU"/>
              </w:rPr>
              <w:t>11 месторождений, расположенных по указанным в законопроекте координатам</w:t>
            </w:r>
          </w:p>
        </w:tc>
      </w:tr>
    </w:tbl>
    <w:p w:rsidR="00D97D6B" w:rsidRDefault="00564E2A">
      <w:bookmarkStart w:id="0" w:name="_GoBack"/>
      <w:bookmarkEnd w:id="0"/>
    </w:p>
    <w:sectPr w:rsidR="00D97D6B" w:rsidSect="00F967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2A"/>
    <w:rsid w:val="0050424D"/>
    <w:rsid w:val="00564E2A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BB741"/>
  <w14:defaultImageDpi w14:val="32767"/>
  <w15:chartTrackingRefBased/>
  <w15:docId w15:val="{C5E77761-7D0D-0744-BC99-2661028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E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564E2A"/>
    <w:rPr>
      <w:i/>
      <w:iCs/>
    </w:rPr>
  </w:style>
  <w:style w:type="character" w:styleId="a5">
    <w:name w:val="Strong"/>
    <w:basedOn w:val="a0"/>
    <w:uiPriority w:val="22"/>
    <w:qFormat/>
    <w:rsid w:val="00564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Усова</dc:creator>
  <cp:keywords/>
  <dc:description/>
  <cp:lastModifiedBy>Анастасия Усова</cp:lastModifiedBy>
  <cp:revision>1</cp:revision>
  <dcterms:created xsi:type="dcterms:W3CDTF">2020-04-09T13:26:00Z</dcterms:created>
  <dcterms:modified xsi:type="dcterms:W3CDTF">2020-04-09T13:27:00Z</dcterms:modified>
</cp:coreProperties>
</file>